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3BFA" w14:textId="77777777" w:rsidR="001A24FB" w:rsidRPr="001A24FB" w:rsidRDefault="001A24FB" w:rsidP="001A24FB">
      <w:pPr>
        <w:shd w:val="clear" w:color="auto" w:fill="FFFFFF"/>
        <w:spacing w:before="150" w:after="150" w:line="432" w:lineRule="atLeast"/>
        <w:outlineLvl w:val="2"/>
        <w:rPr>
          <w:rFonts w:ascii="Open Sans" w:eastAsia="Times New Roman" w:hAnsi="Open Sans" w:cs="Open Sans"/>
          <w:b/>
          <w:bCs/>
          <w:color w:val="000000"/>
          <w:sz w:val="36"/>
          <w:szCs w:val="36"/>
        </w:rPr>
      </w:pPr>
      <w:r w:rsidRPr="001A24FB">
        <w:rPr>
          <w:rFonts w:ascii="Open Sans" w:eastAsia="Times New Roman" w:hAnsi="Open Sans" w:cs="Open Sans"/>
          <w:b/>
          <w:bCs/>
          <w:color w:val="000000"/>
          <w:sz w:val="36"/>
          <w:szCs w:val="36"/>
        </w:rPr>
        <w:t>Block 1: Organizational Systems</w:t>
      </w:r>
    </w:p>
    <w:p w14:paraId="5A2AC79A" w14:textId="76EABE10" w:rsidR="001A24FB" w:rsidRPr="001A24FB" w:rsidRDefault="001A24FB" w:rsidP="001A24FB">
      <w:pPr>
        <w:shd w:val="clear" w:color="auto" w:fill="FFFFFF"/>
        <w:spacing w:after="150" w:line="240" w:lineRule="auto"/>
        <w:rPr>
          <w:rFonts w:ascii="Open Sans" w:eastAsia="Times New Roman" w:hAnsi="Open Sans" w:cs="Open Sans"/>
          <w:color w:val="000000"/>
          <w:sz w:val="21"/>
          <w:szCs w:val="21"/>
        </w:rPr>
      </w:pPr>
      <w:r w:rsidRPr="001A24FB">
        <w:rPr>
          <w:rFonts w:ascii="Open Sans" w:eastAsia="Times New Roman" w:hAnsi="Open Sans" w:cs="Open Sans"/>
          <w:color w:val="000000"/>
          <w:sz w:val="21"/>
          <w:szCs w:val="21"/>
        </w:rPr>
        <w:t>This f</w:t>
      </w:r>
      <w:r w:rsidR="005B28DF">
        <w:rPr>
          <w:rFonts w:ascii="Open Sans" w:eastAsia="Times New Roman" w:hAnsi="Open Sans" w:cs="Open Sans"/>
          <w:color w:val="000000"/>
          <w:sz w:val="21"/>
          <w:szCs w:val="21"/>
        </w:rPr>
        <w:t>ive</w:t>
      </w:r>
      <w:r w:rsidRPr="001A24FB">
        <w:rPr>
          <w:rFonts w:ascii="Open Sans" w:eastAsia="Times New Roman" w:hAnsi="Open Sans" w:cs="Open Sans"/>
          <w:color w:val="000000"/>
          <w:sz w:val="21"/>
          <w:szCs w:val="21"/>
        </w:rPr>
        <w:t>-week block follows up on what you learned at the on-site session and introduces scholars to organizational systems thinking. Using current concepts and models to examine their own organizations and projects, they will develop capacities to perceive, understand and facilitate change in public health organizations.</w:t>
      </w:r>
    </w:p>
    <w:p w14:paraId="36383A5C" w14:textId="77777777" w:rsidR="001A24FB" w:rsidRDefault="001A24FB" w:rsidP="001A24FB">
      <w:pPr>
        <w:pStyle w:val="Heading4"/>
        <w:shd w:val="clear" w:color="auto" w:fill="FFFFFF"/>
        <w:spacing w:before="150" w:after="150" w:line="300" w:lineRule="atLeast"/>
        <w:rPr>
          <w:rFonts w:ascii="Open Sans" w:hAnsi="Open Sans" w:cs="Open Sans"/>
          <w:color w:val="000000"/>
          <w:sz w:val="30"/>
          <w:szCs w:val="30"/>
        </w:rPr>
      </w:pPr>
      <w:r>
        <w:rPr>
          <w:rFonts w:ascii="Open Sans" w:hAnsi="Open Sans" w:cs="Open Sans"/>
          <w:color w:val="000000"/>
          <w:sz w:val="30"/>
          <w:szCs w:val="30"/>
        </w:rPr>
        <w:t>Learning Objectives</w:t>
      </w:r>
    </w:p>
    <w:p w14:paraId="2623A5FA" w14:textId="77777777" w:rsidR="001A24FB" w:rsidRDefault="001A24FB" w:rsidP="001A24FB">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Upon successful completion of this course, scholars will be able to:</w:t>
      </w:r>
    </w:p>
    <w:p w14:paraId="40A33765" w14:textId="77777777" w:rsidR="001A24FB" w:rsidRDefault="001A24FB" w:rsidP="001A24FB">
      <w:pPr>
        <w:numPr>
          <w:ilvl w:val="0"/>
          <w:numId w:val="1"/>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Describe their public health organizations as systems.</w:t>
      </w:r>
    </w:p>
    <w:p w14:paraId="5090F3C9" w14:textId="77777777" w:rsidR="001A24FB" w:rsidRDefault="001A24FB" w:rsidP="001A24FB">
      <w:pPr>
        <w:numPr>
          <w:ilvl w:val="0"/>
          <w:numId w:val="1"/>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Improve communication and group dynamics in organizational systems.</w:t>
      </w:r>
    </w:p>
    <w:p w14:paraId="63E5348B" w14:textId="77777777" w:rsidR="001A24FB" w:rsidRDefault="001A24FB" w:rsidP="001A24FB">
      <w:pPr>
        <w:numPr>
          <w:ilvl w:val="0"/>
          <w:numId w:val="1"/>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Understand and practice methods that encourage innovation and creativity in organizational systems.</w:t>
      </w:r>
    </w:p>
    <w:p w14:paraId="6B1DA01F" w14:textId="77777777" w:rsidR="001A24FB" w:rsidRDefault="001A24FB" w:rsidP="001A24FB">
      <w:pPr>
        <w:numPr>
          <w:ilvl w:val="0"/>
          <w:numId w:val="1"/>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Explain and demonstrate how to encourage learning for change in organizational systems.</w:t>
      </w:r>
    </w:p>
    <w:p w14:paraId="6A94A71E" w14:textId="77777777" w:rsidR="001A24FB" w:rsidRDefault="001A24FB" w:rsidP="001A24FB">
      <w:pPr>
        <w:numPr>
          <w:ilvl w:val="0"/>
          <w:numId w:val="1"/>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Identify at least three principles of organizational change and understand how to apply them.</w:t>
      </w:r>
    </w:p>
    <w:p w14:paraId="63DC0C6D" w14:textId="77777777" w:rsidR="001A24FB" w:rsidRDefault="001A24FB" w:rsidP="001A24FB">
      <w:pPr>
        <w:pStyle w:val="Heading3"/>
        <w:shd w:val="clear" w:color="auto" w:fill="FFFFFF"/>
        <w:spacing w:before="150" w:beforeAutospacing="0" w:after="150" w:afterAutospacing="0" w:line="432" w:lineRule="atLeast"/>
        <w:rPr>
          <w:rFonts w:ascii="Open Sans" w:hAnsi="Open Sans" w:cs="Open Sans"/>
          <w:color w:val="000000"/>
          <w:sz w:val="36"/>
          <w:szCs w:val="36"/>
        </w:rPr>
      </w:pPr>
      <w:r>
        <w:rPr>
          <w:rFonts w:ascii="Open Sans" w:hAnsi="Open Sans" w:cs="Open Sans"/>
          <w:color w:val="000000"/>
          <w:sz w:val="36"/>
          <w:szCs w:val="36"/>
        </w:rPr>
        <w:t>Block 2: Managing People and Teams</w:t>
      </w:r>
    </w:p>
    <w:p w14:paraId="654D01B6" w14:textId="37433306" w:rsidR="005B28DF" w:rsidRDefault="005B28DF" w:rsidP="001A24FB">
      <w:pPr>
        <w:shd w:val="clear" w:color="auto" w:fill="FFFFFF"/>
        <w:spacing w:after="150" w:line="240" w:lineRule="auto"/>
        <w:rPr>
          <w:rFonts w:ascii="Open Sans" w:eastAsia="Times New Roman" w:hAnsi="Open Sans" w:cs="Open Sans"/>
          <w:color w:val="000000"/>
          <w:sz w:val="21"/>
          <w:szCs w:val="21"/>
        </w:rPr>
      </w:pPr>
      <w:r w:rsidRPr="005B28DF">
        <w:rPr>
          <w:rFonts w:ascii="Open Sans" w:eastAsia="Times New Roman" w:hAnsi="Open Sans" w:cs="Open Sans"/>
          <w:color w:val="000000"/>
          <w:sz w:val="21"/>
          <w:szCs w:val="21"/>
        </w:rPr>
        <w:t xml:space="preserve">This </w:t>
      </w:r>
      <w:r>
        <w:rPr>
          <w:rFonts w:ascii="Open Sans" w:eastAsia="Times New Roman" w:hAnsi="Open Sans" w:cs="Open Sans"/>
          <w:color w:val="000000"/>
          <w:sz w:val="21"/>
          <w:szCs w:val="21"/>
        </w:rPr>
        <w:t xml:space="preserve">five-week </w:t>
      </w:r>
      <w:r w:rsidRPr="005B28DF">
        <w:rPr>
          <w:rFonts w:ascii="Open Sans" w:eastAsia="Times New Roman" w:hAnsi="Open Sans" w:cs="Open Sans"/>
          <w:color w:val="000000"/>
          <w:sz w:val="21"/>
          <w:szCs w:val="21"/>
        </w:rPr>
        <w:t xml:space="preserve">block guides scholars in developing a skillset to effectively lead and supervise a diverse staff. The on-site session focuses on managers as individuals and is designed to promote self-awareness and help scholars design meaningful, achievable, and measurable competency development goals.  The virtual sessions begin with a focus on managers as key figures in workforce development, tasked with assisting those they supervise with professional growth and development.  The last section of the block focuses on team dynamics, change in the workplace, and community engagement efforts. Principles of diversity, equity, and inclusion are woven throughout the curriculum, and the interactive sessions will include implications of various skills and leadership styles as well as homework assignments to apply and assess the application of new tools and methods. </w:t>
      </w:r>
    </w:p>
    <w:p w14:paraId="1F410096" w14:textId="6E26E5DB" w:rsidR="001A24FB" w:rsidRPr="001A24FB" w:rsidRDefault="001A24FB" w:rsidP="001A24FB">
      <w:pPr>
        <w:shd w:val="clear" w:color="auto" w:fill="FFFFFF"/>
        <w:spacing w:after="150" w:line="240" w:lineRule="auto"/>
        <w:rPr>
          <w:rFonts w:ascii="Open Sans" w:eastAsia="Times New Roman" w:hAnsi="Open Sans" w:cs="Open Sans"/>
          <w:color w:val="000000"/>
          <w:sz w:val="21"/>
          <w:szCs w:val="21"/>
        </w:rPr>
      </w:pPr>
      <w:r w:rsidRPr="001A24FB">
        <w:rPr>
          <w:rFonts w:ascii="Open Sans" w:eastAsia="Times New Roman" w:hAnsi="Open Sans" w:cs="Open Sans"/>
          <w:b/>
          <w:bCs/>
          <w:color w:val="000000"/>
          <w:sz w:val="21"/>
          <w:szCs w:val="21"/>
        </w:rPr>
        <w:t>Learning Objectives:</w:t>
      </w:r>
    </w:p>
    <w:p w14:paraId="47CDAAF5" w14:textId="77777777" w:rsidR="005B28DF" w:rsidRPr="005B28DF" w:rsidRDefault="005B28DF" w:rsidP="005B28DF">
      <w:pPr>
        <w:pStyle w:val="Heading3"/>
        <w:numPr>
          <w:ilvl w:val="0"/>
          <w:numId w:val="6"/>
        </w:numPr>
        <w:shd w:val="clear" w:color="auto" w:fill="FFFFFF"/>
        <w:spacing w:before="150" w:after="150"/>
        <w:rPr>
          <w:rFonts w:ascii="Open Sans" w:hAnsi="Open Sans" w:cs="Open Sans"/>
          <w:b w:val="0"/>
          <w:bCs w:val="0"/>
          <w:color w:val="000000"/>
          <w:sz w:val="21"/>
          <w:szCs w:val="21"/>
        </w:rPr>
      </w:pPr>
      <w:r w:rsidRPr="005B28DF">
        <w:rPr>
          <w:rFonts w:ascii="Open Sans" w:hAnsi="Open Sans" w:cs="Open Sans"/>
          <w:b w:val="0"/>
          <w:bCs w:val="0"/>
          <w:color w:val="000000"/>
          <w:sz w:val="21"/>
          <w:szCs w:val="21"/>
        </w:rPr>
        <w:t>Identify your natural tendencies, areas that can be strengthened, and implications for your Skillscope Assessment results and development goals.</w:t>
      </w:r>
    </w:p>
    <w:p w14:paraId="38245684" w14:textId="77777777" w:rsidR="005B28DF" w:rsidRPr="005B28DF" w:rsidRDefault="005B28DF" w:rsidP="005B28DF">
      <w:pPr>
        <w:pStyle w:val="Heading3"/>
        <w:numPr>
          <w:ilvl w:val="0"/>
          <w:numId w:val="6"/>
        </w:numPr>
        <w:shd w:val="clear" w:color="auto" w:fill="FFFFFF"/>
        <w:spacing w:before="150" w:after="150"/>
        <w:rPr>
          <w:rFonts w:ascii="Open Sans" w:hAnsi="Open Sans" w:cs="Open Sans"/>
          <w:b w:val="0"/>
          <w:bCs w:val="0"/>
          <w:color w:val="000000"/>
          <w:sz w:val="21"/>
          <w:szCs w:val="21"/>
        </w:rPr>
      </w:pPr>
      <w:r w:rsidRPr="005B28DF">
        <w:rPr>
          <w:rFonts w:ascii="Open Sans" w:hAnsi="Open Sans" w:cs="Open Sans"/>
          <w:b w:val="0"/>
          <w:bCs w:val="0"/>
          <w:color w:val="000000"/>
          <w:sz w:val="21"/>
          <w:szCs w:val="21"/>
        </w:rPr>
        <w:t>Understand how to address diversity, equity, and inclusion within these frameworks.</w:t>
      </w:r>
    </w:p>
    <w:p w14:paraId="6517EACE" w14:textId="77777777" w:rsidR="005B28DF" w:rsidRPr="005B28DF" w:rsidRDefault="005B28DF" w:rsidP="005B28DF">
      <w:pPr>
        <w:pStyle w:val="Heading3"/>
        <w:numPr>
          <w:ilvl w:val="0"/>
          <w:numId w:val="6"/>
        </w:numPr>
        <w:shd w:val="clear" w:color="auto" w:fill="FFFFFF"/>
        <w:spacing w:before="150" w:after="150"/>
        <w:rPr>
          <w:rFonts w:ascii="Open Sans" w:hAnsi="Open Sans" w:cs="Open Sans"/>
          <w:b w:val="0"/>
          <w:bCs w:val="0"/>
          <w:color w:val="000000"/>
          <w:sz w:val="21"/>
          <w:szCs w:val="21"/>
        </w:rPr>
      </w:pPr>
      <w:r w:rsidRPr="005B28DF">
        <w:rPr>
          <w:rFonts w:ascii="Open Sans" w:hAnsi="Open Sans" w:cs="Open Sans"/>
          <w:b w:val="0"/>
          <w:bCs w:val="0"/>
          <w:color w:val="000000"/>
          <w:sz w:val="21"/>
          <w:szCs w:val="21"/>
        </w:rPr>
        <w:t xml:space="preserve">Describe a comprehensive performance appraisal process.    </w:t>
      </w:r>
    </w:p>
    <w:p w14:paraId="6197CD68" w14:textId="77777777" w:rsidR="005B28DF" w:rsidRPr="005B28DF" w:rsidRDefault="005B28DF" w:rsidP="005B28DF">
      <w:pPr>
        <w:pStyle w:val="Heading3"/>
        <w:numPr>
          <w:ilvl w:val="0"/>
          <w:numId w:val="6"/>
        </w:numPr>
        <w:shd w:val="clear" w:color="auto" w:fill="FFFFFF"/>
        <w:spacing w:before="150" w:after="150"/>
        <w:rPr>
          <w:rFonts w:ascii="Open Sans" w:hAnsi="Open Sans" w:cs="Open Sans"/>
          <w:b w:val="0"/>
          <w:bCs w:val="0"/>
          <w:color w:val="000000"/>
          <w:sz w:val="21"/>
          <w:szCs w:val="21"/>
        </w:rPr>
      </w:pPr>
      <w:r w:rsidRPr="005B28DF">
        <w:rPr>
          <w:rFonts w:ascii="Open Sans" w:hAnsi="Open Sans" w:cs="Open Sans"/>
          <w:b w:val="0"/>
          <w:bCs w:val="0"/>
          <w:color w:val="000000"/>
          <w:sz w:val="21"/>
          <w:szCs w:val="21"/>
        </w:rPr>
        <w:t xml:space="preserve">Identify strategies for providing constructive feedback. </w:t>
      </w:r>
    </w:p>
    <w:p w14:paraId="17AFF031" w14:textId="77777777" w:rsidR="005B28DF" w:rsidRPr="005B28DF" w:rsidRDefault="005B28DF" w:rsidP="005B28DF">
      <w:pPr>
        <w:pStyle w:val="Heading3"/>
        <w:numPr>
          <w:ilvl w:val="0"/>
          <w:numId w:val="6"/>
        </w:numPr>
        <w:shd w:val="clear" w:color="auto" w:fill="FFFFFF"/>
        <w:spacing w:before="150" w:after="150"/>
        <w:rPr>
          <w:rFonts w:ascii="Open Sans" w:hAnsi="Open Sans" w:cs="Open Sans"/>
          <w:b w:val="0"/>
          <w:bCs w:val="0"/>
          <w:color w:val="000000"/>
          <w:sz w:val="21"/>
          <w:szCs w:val="21"/>
        </w:rPr>
      </w:pPr>
      <w:r w:rsidRPr="005B28DF">
        <w:rPr>
          <w:rFonts w:ascii="Open Sans" w:hAnsi="Open Sans" w:cs="Open Sans"/>
          <w:b w:val="0"/>
          <w:bCs w:val="0"/>
          <w:color w:val="000000"/>
          <w:sz w:val="21"/>
          <w:szCs w:val="21"/>
        </w:rPr>
        <w:t>Identify the steps of the coaching process.</w:t>
      </w:r>
    </w:p>
    <w:p w14:paraId="539E405F" w14:textId="77777777" w:rsidR="005B28DF" w:rsidRPr="005B28DF" w:rsidRDefault="005B28DF" w:rsidP="005B28DF">
      <w:pPr>
        <w:pStyle w:val="Heading3"/>
        <w:numPr>
          <w:ilvl w:val="0"/>
          <w:numId w:val="6"/>
        </w:numPr>
        <w:shd w:val="clear" w:color="auto" w:fill="FFFFFF"/>
        <w:spacing w:before="150" w:after="150"/>
        <w:rPr>
          <w:rFonts w:ascii="Open Sans" w:hAnsi="Open Sans" w:cs="Open Sans"/>
          <w:b w:val="0"/>
          <w:bCs w:val="0"/>
          <w:color w:val="000000"/>
          <w:sz w:val="21"/>
          <w:szCs w:val="21"/>
        </w:rPr>
      </w:pPr>
      <w:r w:rsidRPr="005B28DF">
        <w:rPr>
          <w:rFonts w:ascii="Open Sans" w:hAnsi="Open Sans" w:cs="Open Sans"/>
          <w:b w:val="0"/>
          <w:bCs w:val="0"/>
          <w:color w:val="000000"/>
          <w:sz w:val="21"/>
          <w:szCs w:val="21"/>
        </w:rPr>
        <w:t>Identify strategies for a successful coaching session.</w:t>
      </w:r>
    </w:p>
    <w:p w14:paraId="79185BAB" w14:textId="77777777" w:rsidR="005B28DF" w:rsidRPr="005B28DF" w:rsidRDefault="005B28DF" w:rsidP="005B28DF">
      <w:pPr>
        <w:pStyle w:val="Heading3"/>
        <w:numPr>
          <w:ilvl w:val="0"/>
          <w:numId w:val="6"/>
        </w:numPr>
        <w:shd w:val="clear" w:color="auto" w:fill="FFFFFF"/>
        <w:spacing w:before="150" w:after="150"/>
        <w:rPr>
          <w:rFonts w:ascii="Open Sans" w:hAnsi="Open Sans" w:cs="Open Sans"/>
          <w:b w:val="0"/>
          <w:bCs w:val="0"/>
          <w:color w:val="000000"/>
          <w:sz w:val="21"/>
          <w:szCs w:val="21"/>
        </w:rPr>
      </w:pPr>
      <w:r w:rsidRPr="005B28DF">
        <w:rPr>
          <w:rFonts w:ascii="Open Sans" w:hAnsi="Open Sans" w:cs="Open Sans"/>
          <w:b w:val="0"/>
          <w:bCs w:val="0"/>
          <w:color w:val="000000"/>
          <w:sz w:val="21"/>
          <w:szCs w:val="21"/>
        </w:rPr>
        <w:t>Identify strategies to foster a healthy teamwork environment</w:t>
      </w:r>
    </w:p>
    <w:p w14:paraId="3681A330" w14:textId="77777777" w:rsidR="005B28DF" w:rsidRPr="005B28DF" w:rsidRDefault="005B28DF" w:rsidP="005B28DF">
      <w:pPr>
        <w:pStyle w:val="Heading3"/>
        <w:numPr>
          <w:ilvl w:val="0"/>
          <w:numId w:val="6"/>
        </w:numPr>
        <w:shd w:val="clear" w:color="auto" w:fill="FFFFFF"/>
        <w:spacing w:before="150" w:after="150"/>
        <w:rPr>
          <w:rFonts w:ascii="Open Sans" w:hAnsi="Open Sans" w:cs="Open Sans"/>
          <w:b w:val="0"/>
          <w:bCs w:val="0"/>
          <w:color w:val="000000"/>
          <w:sz w:val="21"/>
          <w:szCs w:val="21"/>
        </w:rPr>
      </w:pPr>
      <w:r w:rsidRPr="005B28DF">
        <w:rPr>
          <w:rFonts w:ascii="Open Sans" w:hAnsi="Open Sans" w:cs="Open Sans"/>
          <w:b w:val="0"/>
          <w:bCs w:val="0"/>
          <w:color w:val="000000"/>
          <w:sz w:val="21"/>
          <w:szCs w:val="21"/>
        </w:rPr>
        <w:t xml:space="preserve">Describe strategies for holding meaningful and productive meetings. </w:t>
      </w:r>
    </w:p>
    <w:p w14:paraId="265E29DA" w14:textId="77777777" w:rsidR="005B28DF" w:rsidRPr="005B28DF" w:rsidRDefault="005B28DF" w:rsidP="005B28DF">
      <w:pPr>
        <w:pStyle w:val="Heading3"/>
        <w:numPr>
          <w:ilvl w:val="0"/>
          <w:numId w:val="6"/>
        </w:numPr>
        <w:shd w:val="clear" w:color="auto" w:fill="FFFFFF"/>
        <w:spacing w:before="150" w:after="150"/>
        <w:rPr>
          <w:rFonts w:ascii="Open Sans" w:hAnsi="Open Sans" w:cs="Open Sans"/>
          <w:b w:val="0"/>
          <w:bCs w:val="0"/>
          <w:color w:val="000000"/>
          <w:sz w:val="21"/>
          <w:szCs w:val="21"/>
        </w:rPr>
      </w:pPr>
      <w:r w:rsidRPr="005B28DF">
        <w:rPr>
          <w:rFonts w:ascii="Open Sans" w:hAnsi="Open Sans" w:cs="Open Sans"/>
          <w:b w:val="0"/>
          <w:bCs w:val="0"/>
          <w:color w:val="000000"/>
          <w:sz w:val="21"/>
          <w:szCs w:val="21"/>
        </w:rPr>
        <w:t xml:space="preserve">Describe strategies to manage the impact of organizational change on staff. </w:t>
      </w:r>
    </w:p>
    <w:p w14:paraId="7B22DCE2" w14:textId="77777777" w:rsidR="005B28DF" w:rsidRDefault="005B28DF" w:rsidP="005B28DF">
      <w:pPr>
        <w:pStyle w:val="Heading3"/>
        <w:numPr>
          <w:ilvl w:val="0"/>
          <w:numId w:val="6"/>
        </w:numPr>
        <w:shd w:val="clear" w:color="auto" w:fill="FFFFFF"/>
        <w:spacing w:before="150" w:beforeAutospacing="0" w:after="150" w:afterAutospacing="0"/>
        <w:rPr>
          <w:rFonts w:ascii="Open Sans" w:hAnsi="Open Sans" w:cs="Open Sans"/>
          <w:b w:val="0"/>
          <w:bCs w:val="0"/>
          <w:color w:val="000000"/>
          <w:sz w:val="21"/>
          <w:szCs w:val="21"/>
        </w:rPr>
      </w:pPr>
      <w:r w:rsidRPr="005B28DF">
        <w:rPr>
          <w:rFonts w:ascii="Open Sans" w:hAnsi="Open Sans" w:cs="Open Sans"/>
          <w:b w:val="0"/>
          <w:bCs w:val="0"/>
          <w:color w:val="000000"/>
          <w:sz w:val="21"/>
          <w:szCs w:val="21"/>
        </w:rPr>
        <w:lastRenderedPageBreak/>
        <w:t>Describe strategies for authentic community engagement in public health practice.</w:t>
      </w:r>
    </w:p>
    <w:p w14:paraId="16BE29FE" w14:textId="75132943" w:rsidR="001A24FB" w:rsidRDefault="001A24FB" w:rsidP="005B28DF">
      <w:pPr>
        <w:pStyle w:val="Heading3"/>
        <w:shd w:val="clear" w:color="auto" w:fill="FFFFFF"/>
        <w:spacing w:before="150" w:beforeAutospacing="0" w:after="150" w:afterAutospacing="0" w:line="432" w:lineRule="atLeast"/>
        <w:rPr>
          <w:rFonts w:ascii="Open Sans" w:hAnsi="Open Sans" w:cs="Open Sans"/>
          <w:color w:val="000000"/>
          <w:sz w:val="36"/>
          <w:szCs w:val="36"/>
        </w:rPr>
      </w:pPr>
      <w:r>
        <w:rPr>
          <w:rFonts w:ascii="Open Sans" w:hAnsi="Open Sans" w:cs="Open Sans"/>
          <w:color w:val="000000"/>
          <w:sz w:val="36"/>
          <w:szCs w:val="36"/>
        </w:rPr>
        <w:t>Block 3: Financial Management</w:t>
      </w:r>
    </w:p>
    <w:p w14:paraId="185DB6D7" w14:textId="77777777" w:rsidR="001A24FB" w:rsidRDefault="001A24FB" w:rsidP="001A24FB">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Understanding financial management issues is a basic competency for managers operating in any sector. The overall goal for this seven-week block is to prepare the participant to participate intelligently in, and contribute to, financial decisions made in his or her management unit. While participants may ultimately delegate the actual financial analysis to other staff, if they are to become effective managers, it nevertheless remains imperative that they understand both the language and the fundamental concepts of financial management, and become comfortable with what is required to perform formal financial analyses. Those completing the block successfully will be knowledgeable about both the uses and the limitations of cost and financial information from the perspective of a manager.</w:t>
      </w:r>
    </w:p>
    <w:p w14:paraId="5E3C1E1C" w14:textId="77777777" w:rsidR="001A24FB" w:rsidRDefault="001A24FB" w:rsidP="001A24FB">
      <w:pPr>
        <w:pStyle w:val="Heading4"/>
        <w:shd w:val="clear" w:color="auto" w:fill="FFFFFF"/>
        <w:spacing w:before="150" w:after="150" w:line="300" w:lineRule="atLeast"/>
        <w:rPr>
          <w:rFonts w:ascii="Open Sans" w:hAnsi="Open Sans" w:cs="Open Sans"/>
          <w:color w:val="000000"/>
          <w:sz w:val="30"/>
          <w:szCs w:val="30"/>
        </w:rPr>
      </w:pPr>
      <w:r>
        <w:rPr>
          <w:rFonts w:ascii="Open Sans" w:hAnsi="Open Sans" w:cs="Open Sans"/>
          <w:color w:val="000000"/>
          <w:sz w:val="30"/>
          <w:szCs w:val="30"/>
        </w:rPr>
        <w:t>Learning Objectives</w:t>
      </w:r>
    </w:p>
    <w:p w14:paraId="435C075E" w14:textId="77777777" w:rsidR="001A24FB" w:rsidRDefault="001A24FB" w:rsidP="001A24FB">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By the end of this course, participants will be able to:</w:t>
      </w:r>
    </w:p>
    <w:p w14:paraId="3C9369E8" w14:textId="4E93B45A" w:rsidR="001A24FB" w:rsidRDefault="001A24FB" w:rsidP="005B28DF">
      <w:pPr>
        <w:pStyle w:val="NormalWeb"/>
        <w:numPr>
          <w:ilvl w:val="0"/>
          <w:numId w:val="7"/>
        </w:numPr>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Understand the link between an organization's mission and goals, and the management of its financial resources.</w:t>
      </w:r>
    </w:p>
    <w:p w14:paraId="7E52AB11" w14:textId="32E7B6BA" w:rsidR="001A24FB" w:rsidRDefault="001A24FB" w:rsidP="005B28DF">
      <w:pPr>
        <w:pStyle w:val="NormalWeb"/>
        <w:numPr>
          <w:ilvl w:val="0"/>
          <w:numId w:val="7"/>
        </w:numPr>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Develop a budget to meet programmatic needs.</w:t>
      </w:r>
    </w:p>
    <w:p w14:paraId="44799772" w14:textId="7E59CD24" w:rsidR="001A24FB" w:rsidRDefault="001A24FB" w:rsidP="005B28DF">
      <w:pPr>
        <w:pStyle w:val="NormalWeb"/>
        <w:numPr>
          <w:ilvl w:val="0"/>
          <w:numId w:val="7"/>
        </w:numPr>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Apply standard cost analysis methods for planning, budgeting and analysis.</w:t>
      </w:r>
    </w:p>
    <w:p w14:paraId="07B3DC64" w14:textId="561FDA88" w:rsidR="001A24FB" w:rsidRDefault="001A24FB" w:rsidP="005B28DF">
      <w:pPr>
        <w:pStyle w:val="NormalWeb"/>
        <w:numPr>
          <w:ilvl w:val="0"/>
          <w:numId w:val="7"/>
        </w:numPr>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Utilize budgetary tools in order to make strategic budget decisions.</w:t>
      </w:r>
    </w:p>
    <w:p w14:paraId="1A1A91FE" w14:textId="1F0F885F" w:rsidR="001A24FB" w:rsidRDefault="001A24FB" w:rsidP="005B28DF">
      <w:pPr>
        <w:pStyle w:val="NormalWeb"/>
        <w:numPr>
          <w:ilvl w:val="0"/>
          <w:numId w:val="7"/>
        </w:numPr>
        <w:shd w:val="clear" w:color="auto" w:fill="FFFFFF"/>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Understand the common underlying characteristics of financial fraud, the importance of an internal control system, and management's role in preventing fraud.</w:t>
      </w:r>
    </w:p>
    <w:p w14:paraId="085F7074" w14:textId="77777777" w:rsidR="001A24FB" w:rsidRDefault="001A24FB" w:rsidP="001A24FB">
      <w:pPr>
        <w:pStyle w:val="Heading3"/>
        <w:shd w:val="clear" w:color="auto" w:fill="FFFFFF"/>
        <w:spacing w:before="150" w:beforeAutospacing="0" w:after="150" w:afterAutospacing="0" w:line="432" w:lineRule="atLeast"/>
        <w:rPr>
          <w:rFonts w:ascii="Open Sans" w:hAnsi="Open Sans" w:cs="Open Sans"/>
          <w:color w:val="000000"/>
          <w:sz w:val="36"/>
          <w:szCs w:val="36"/>
        </w:rPr>
      </w:pPr>
      <w:r>
        <w:rPr>
          <w:rFonts w:ascii="Open Sans" w:hAnsi="Open Sans" w:cs="Open Sans"/>
          <w:color w:val="000000"/>
          <w:sz w:val="36"/>
          <w:szCs w:val="36"/>
        </w:rPr>
        <w:t>Block 4: Program Evaluation</w:t>
      </w:r>
    </w:p>
    <w:p w14:paraId="5069C7F0" w14:textId="77777777" w:rsidR="001A24FB" w:rsidRDefault="001A24FB" w:rsidP="001A24FB">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The content presented in this eight-week block is based on the Framework for Program Evaluation in Public Health developed by the Centers for Disease Control and Prevention. The block will be a hands-on learn and practice session on how planners can begin to build and evaluate their programs using practical process and outcome measures. In this block, scholars will begin to build their own evaluation plan for a program or project that they are currently working on for their organization.</w:t>
      </w:r>
    </w:p>
    <w:p w14:paraId="05282C11" w14:textId="77777777" w:rsidR="001A24FB" w:rsidRDefault="001A24FB" w:rsidP="001A24FB">
      <w:pPr>
        <w:pStyle w:val="Heading4"/>
        <w:shd w:val="clear" w:color="auto" w:fill="FFFFFF"/>
        <w:spacing w:before="150" w:after="150" w:line="300" w:lineRule="atLeast"/>
        <w:rPr>
          <w:rFonts w:ascii="Open Sans" w:hAnsi="Open Sans" w:cs="Open Sans"/>
          <w:color w:val="000000"/>
          <w:sz w:val="30"/>
          <w:szCs w:val="30"/>
        </w:rPr>
      </w:pPr>
      <w:r>
        <w:rPr>
          <w:rFonts w:ascii="Open Sans" w:hAnsi="Open Sans" w:cs="Open Sans"/>
          <w:color w:val="000000"/>
          <w:sz w:val="30"/>
          <w:szCs w:val="30"/>
        </w:rPr>
        <w:t>Learning Objectives</w:t>
      </w:r>
    </w:p>
    <w:p w14:paraId="712F2E89" w14:textId="77777777" w:rsidR="001A24FB" w:rsidRDefault="001A24FB" w:rsidP="001A24FB">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Upon successful completion of this course, scholars will be able to:</w:t>
      </w:r>
    </w:p>
    <w:p w14:paraId="3A193DF9" w14:textId="77777777" w:rsidR="001A24FB" w:rsidRDefault="001A24FB" w:rsidP="001A24FB">
      <w:pPr>
        <w:numPr>
          <w:ilvl w:val="0"/>
          <w:numId w:val="3"/>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Describe the relationship between performance management, program planning and evaluation</w:t>
      </w:r>
    </w:p>
    <w:p w14:paraId="756B4B33" w14:textId="77777777" w:rsidR="001A24FB" w:rsidRDefault="001A24FB" w:rsidP="001A24FB">
      <w:pPr>
        <w:numPr>
          <w:ilvl w:val="0"/>
          <w:numId w:val="3"/>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Describe the steps of program planning and evaluation process</w:t>
      </w:r>
    </w:p>
    <w:p w14:paraId="3030EA40" w14:textId="77777777" w:rsidR="001A24FB" w:rsidRDefault="001A24FB" w:rsidP="001A24FB">
      <w:pPr>
        <w:numPr>
          <w:ilvl w:val="0"/>
          <w:numId w:val="3"/>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Perform information seeking of data sources and key public health information systems</w:t>
      </w:r>
    </w:p>
    <w:p w14:paraId="5F976381" w14:textId="77777777" w:rsidR="001A24FB" w:rsidRDefault="001A24FB" w:rsidP="001A24FB">
      <w:pPr>
        <w:numPr>
          <w:ilvl w:val="0"/>
          <w:numId w:val="3"/>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Identify key stakeholders in an evaluation</w:t>
      </w:r>
    </w:p>
    <w:p w14:paraId="4DD125ED" w14:textId="77777777" w:rsidR="001A24FB" w:rsidRDefault="001A24FB" w:rsidP="001A24FB">
      <w:pPr>
        <w:numPr>
          <w:ilvl w:val="0"/>
          <w:numId w:val="3"/>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Develop the components and elements of a program logic model</w:t>
      </w:r>
    </w:p>
    <w:p w14:paraId="6BA8DBAC" w14:textId="77777777" w:rsidR="001A24FB" w:rsidRDefault="001A24FB" w:rsidP="001A24FB">
      <w:pPr>
        <w:numPr>
          <w:ilvl w:val="0"/>
          <w:numId w:val="3"/>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Identify the key steps needed for successful program implementation</w:t>
      </w:r>
    </w:p>
    <w:p w14:paraId="480048E0" w14:textId="77777777" w:rsidR="001A24FB" w:rsidRDefault="001A24FB" w:rsidP="005B28DF">
      <w:pPr>
        <w:numPr>
          <w:ilvl w:val="0"/>
          <w:numId w:val="3"/>
        </w:numPr>
        <w:shd w:val="clear" w:color="auto" w:fill="FFFFFF"/>
        <w:spacing w:before="100" w:beforeAutospacing="1" w:after="0" w:line="300" w:lineRule="atLeast"/>
        <w:ind w:left="374"/>
        <w:rPr>
          <w:rFonts w:ascii="Open Sans" w:hAnsi="Open Sans" w:cs="Open Sans"/>
          <w:color w:val="000000"/>
          <w:sz w:val="21"/>
          <w:szCs w:val="21"/>
        </w:rPr>
      </w:pPr>
      <w:r>
        <w:rPr>
          <w:rFonts w:ascii="Open Sans" w:hAnsi="Open Sans" w:cs="Open Sans"/>
          <w:color w:val="000000"/>
          <w:sz w:val="21"/>
          <w:szCs w:val="21"/>
        </w:rPr>
        <w:lastRenderedPageBreak/>
        <w:t>Create a basic evaluation plan including data collection and analyzing methods</w:t>
      </w:r>
    </w:p>
    <w:p w14:paraId="4DF888B9" w14:textId="77777777" w:rsidR="001A24FB" w:rsidRDefault="001A24FB" w:rsidP="005B28DF">
      <w:pPr>
        <w:numPr>
          <w:ilvl w:val="0"/>
          <w:numId w:val="3"/>
        </w:numPr>
        <w:shd w:val="clear" w:color="auto" w:fill="FFFFFF"/>
        <w:spacing w:after="0" w:line="360" w:lineRule="atLeast"/>
        <w:ind w:left="374"/>
        <w:rPr>
          <w:rFonts w:ascii="Open Sans" w:hAnsi="Open Sans" w:cs="Open Sans"/>
          <w:color w:val="000000"/>
          <w:sz w:val="21"/>
          <w:szCs w:val="21"/>
        </w:rPr>
      </w:pPr>
      <w:r>
        <w:rPr>
          <w:rFonts w:ascii="Open Sans" w:hAnsi="Open Sans" w:cs="Open Sans"/>
          <w:color w:val="000000"/>
          <w:sz w:val="21"/>
          <w:szCs w:val="21"/>
        </w:rPr>
        <w:t>List three ways to use evaluation data to draw conclusions about a program</w:t>
      </w:r>
    </w:p>
    <w:p w14:paraId="52A208C2" w14:textId="77777777" w:rsidR="001A24FB" w:rsidRDefault="001A24FB" w:rsidP="005B28DF">
      <w:pPr>
        <w:numPr>
          <w:ilvl w:val="0"/>
          <w:numId w:val="3"/>
        </w:numPr>
        <w:shd w:val="clear" w:color="auto" w:fill="FFFFFF"/>
        <w:spacing w:after="0" w:line="360" w:lineRule="atLeast"/>
        <w:ind w:left="374"/>
        <w:rPr>
          <w:rFonts w:ascii="Open Sans" w:hAnsi="Open Sans" w:cs="Open Sans"/>
          <w:color w:val="000000"/>
          <w:sz w:val="21"/>
          <w:szCs w:val="21"/>
        </w:rPr>
      </w:pPr>
      <w:r>
        <w:rPr>
          <w:rFonts w:ascii="Open Sans" w:hAnsi="Open Sans" w:cs="Open Sans"/>
          <w:color w:val="000000"/>
          <w:sz w:val="21"/>
          <w:szCs w:val="21"/>
        </w:rPr>
        <w:t>Communicate the impact of their program to outside audiences</w:t>
      </w:r>
    </w:p>
    <w:p w14:paraId="2D36D55E" w14:textId="77777777" w:rsidR="001A24FB" w:rsidRDefault="001A24FB" w:rsidP="001A24FB">
      <w:pPr>
        <w:pStyle w:val="Heading3"/>
        <w:shd w:val="clear" w:color="auto" w:fill="FFFFFF"/>
        <w:spacing w:before="150" w:beforeAutospacing="0" w:after="150" w:afterAutospacing="0" w:line="432" w:lineRule="atLeast"/>
        <w:rPr>
          <w:rFonts w:ascii="Open Sans" w:hAnsi="Open Sans" w:cs="Open Sans"/>
          <w:color w:val="000000"/>
          <w:sz w:val="36"/>
          <w:szCs w:val="36"/>
        </w:rPr>
      </w:pPr>
      <w:r>
        <w:rPr>
          <w:rFonts w:ascii="Open Sans" w:hAnsi="Open Sans" w:cs="Open Sans"/>
          <w:color w:val="000000"/>
          <w:sz w:val="36"/>
          <w:szCs w:val="36"/>
        </w:rPr>
        <w:t>Block 5: Conflict Resolution and Negotiation Skills</w:t>
      </w:r>
    </w:p>
    <w:p w14:paraId="01ED4C1F" w14:textId="4B7C9771" w:rsidR="005B28DF" w:rsidRPr="005B28DF" w:rsidRDefault="005B28DF" w:rsidP="005B28DF">
      <w:pPr>
        <w:pStyle w:val="NormalWeb"/>
        <w:shd w:val="clear" w:color="auto" w:fill="FFFFFF"/>
        <w:spacing w:before="0" w:beforeAutospacing="0" w:after="150" w:afterAutospacing="0"/>
        <w:rPr>
          <w:rFonts w:ascii="Open Sans" w:hAnsi="Open Sans" w:cs="Open Sans"/>
          <w:color w:val="000000"/>
          <w:sz w:val="21"/>
          <w:szCs w:val="21"/>
        </w:rPr>
      </w:pPr>
      <w:r w:rsidRPr="005B28DF">
        <w:rPr>
          <w:rFonts w:ascii="Open Sans" w:hAnsi="Open Sans" w:cs="Open Sans"/>
          <w:color w:val="000000"/>
          <w:sz w:val="21"/>
          <w:szCs w:val="21"/>
        </w:rPr>
        <w:t>Negotiations comprise a major part of a manager's job. Middle level managers estimate that as much as 80% of their time is spent in negotiations of one kind or another, while upper-level managers estimate that they spend up to 95% of their time negotiating.</w:t>
      </w:r>
    </w:p>
    <w:p w14:paraId="6C7142A4" w14:textId="05CAAA43" w:rsidR="005B28DF" w:rsidRPr="005B28DF" w:rsidRDefault="005B28DF" w:rsidP="005B28DF">
      <w:pPr>
        <w:pStyle w:val="NormalWeb"/>
        <w:shd w:val="clear" w:color="auto" w:fill="FFFFFF"/>
        <w:spacing w:before="0" w:beforeAutospacing="0" w:after="150" w:afterAutospacing="0"/>
        <w:rPr>
          <w:rFonts w:ascii="Open Sans" w:hAnsi="Open Sans" w:cs="Open Sans"/>
          <w:color w:val="000000"/>
          <w:sz w:val="21"/>
          <w:szCs w:val="21"/>
        </w:rPr>
      </w:pPr>
      <w:r w:rsidRPr="005B28DF">
        <w:rPr>
          <w:rFonts w:ascii="Open Sans" w:hAnsi="Open Sans" w:cs="Open Sans"/>
          <w:color w:val="000000"/>
          <w:sz w:val="21"/>
          <w:szCs w:val="21"/>
        </w:rPr>
        <w:t>It is easy to recognize some types of negotiations, such as those that occur in service contracts, labor relations, and the settlement of legal disputes. Other negotiations, such as dealings with superiors, subordinates, other colleagues, or the public, are less easily recognized but much more frequent. Indeed, every meeting, if not every conversation, is likely to involve some type of negotiation.</w:t>
      </w:r>
    </w:p>
    <w:p w14:paraId="0B7D90A7" w14:textId="4AF28882" w:rsidR="005B28DF" w:rsidRPr="005B28DF" w:rsidRDefault="005B28DF" w:rsidP="005B28DF">
      <w:pPr>
        <w:pStyle w:val="NormalWeb"/>
        <w:shd w:val="clear" w:color="auto" w:fill="FFFFFF"/>
        <w:spacing w:before="0" w:beforeAutospacing="0" w:after="150" w:afterAutospacing="0"/>
        <w:rPr>
          <w:rFonts w:ascii="Open Sans" w:hAnsi="Open Sans" w:cs="Open Sans"/>
          <w:color w:val="000000"/>
          <w:sz w:val="21"/>
          <w:szCs w:val="21"/>
        </w:rPr>
      </w:pPr>
      <w:r w:rsidRPr="005B28DF">
        <w:rPr>
          <w:rFonts w:ascii="Open Sans" w:hAnsi="Open Sans" w:cs="Open Sans"/>
          <w:color w:val="000000"/>
          <w:sz w:val="21"/>
          <w:szCs w:val="21"/>
        </w:rPr>
        <w:t>Because negotiations are an integral part of the manager's job, it follows that most managers have already developed some conflict resolution skills and have had some success in negotiating. The purpose of this course is to recognize more clearly negotiating opportunities and the skills and strategies that lead to successful agreements. If participants complete the course with greater consciousness of their negotiating skills and the opportunities to use them, we will have been successful.</w:t>
      </w:r>
    </w:p>
    <w:p w14:paraId="6B230738" w14:textId="77777777" w:rsidR="005B28DF" w:rsidRPr="005B28DF" w:rsidRDefault="005B28DF" w:rsidP="005B28DF">
      <w:pPr>
        <w:pStyle w:val="NormalWeb"/>
        <w:shd w:val="clear" w:color="auto" w:fill="FFFFFF"/>
        <w:spacing w:before="0" w:beforeAutospacing="0" w:after="150" w:afterAutospacing="0"/>
        <w:rPr>
          <w:rFonts w:ascii="Open Sans" w:hAnsi="Open Sans" w:cs="Open Sans"/>
          <w:color w:val="000000"/>
          <w:sz w:val="21"/>
          <w:szCs w:val="21"/>
        </w:rPr>
      </w:pPr>
      <w:r w:rsidRPr="005B28DF">
        <w:rPr>
          <w:rFonts w:ascii="Open Sans" w:hAnsi="Open Sans" w:cs="Open Sans"/>
          <w:color w:val="000000"/>
          <w:sz w:val="21"/>
          <w:szCs w:val="21"/>
        </w:rPr>
        <w:t>In this block we will identify and assess those factors that are common to a wide range of negotiating situations. We’ll consider and practice how they can be applied and adapted to each specific situation. Within our areas of concern are negotiations between individuals representing either themselves or others; negotiations within a department, between departments, and between organizations; negotiations between interest groups within communities or at a "grassroots" level; and multi-party negotiations involving public or non-profit agencies, the private sector, and interest groups. We will address one-time negotiations as well as on-going negotiations in which establishing and maintaining relationships is vital.</w:t>
      </w:r>
    </w:p>
    <w:p w14:paraId="55E9D7F1" w14:textId="77777777" w:rsidR="001A24FB" w:rsidRDefault="001A24FB" w:rsidP="001A24FB">
      <w:pPr>
        <w:pStyle w:val="Heading4"/>
        <w:shd w:val="clear" w:color="auto" w:fill="FFFFFF"/>
        <w:spacing w:before="150" w:after="150" w:line="300" w:lineRule="atLeast"/>
        <w:rPr>
          <w:rFonts w:ascii="Open Sans" w:hAnsi="Open Sans" w:cs="Open Sans"/>
          <w:color w:val="000000"/>
          <w:sz w:val="30"/>
          <w:szCs w:val="30"/>
        </w:rPr>
      </w:pPr>
      <w:r>
        <w:rPr>
          <w:rFonts w:ascii="Open Sans" w:hAnsi="Open Sans" w:cs="Open Sans"/>
          <w:color w:val="000000"/>
          <w:sz w:val="30"/>
          <w:szCs w:val="30"/>
        </w:rPr>
        <w:t>Learning Objectives</w:t>
      </w:r>
    </w:p>
    <w:p w14:paraId="070E0C06" w14:textId="77777777" w:rsidR="001A24FB" w:rsidRDefault="001A24FB" w:rsidP="001A24FB">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Upon successful completion of this course, scholars will be able to:</w:t>
      </w:r>
    </w:p>
    <w:p w14:paraId="15FCA546" w14:textId="77777777" w:rsidR="005B28DF" w:rsidRPr="005B28DF" w:rsidRDefault="005B28DF" w:rsidP="005B28DF">
      <w:pPr>
        <w:pStyle w:val="ListParagraph"/>
        <w:numPr>
          <w:ilvl w:val="0"/>
          <w:numId w:val="9"/>
        </w:numPr>
        <w:rPr>
          <w:rFonts w:ascii="Open Sans" w:hAnsi="Open Sans" w:cs="Open Sans"/>
          <w:sz w:val="21"/>
          <w:szCs w:val="21"/>
        </w:rPr>
      </w:pPr>
      <w:r w:rsidRPr="005B28DF">
        <w:rPr>
          <w:rFonts w:ascii="Open Sans" w:hAnsi="Open Sans" w:cs="Open Sans"/>
          <w:sz w:val="21"/>
          <w:szCs w:val="21"/>
        </w:rPr>
        <w:t>Identify and understand the difference between “interests” and “positions,” and be able to apply “interest-based” negotiations to resolve disputes.</w:t>
      </w:r>
    </w:p>
    <w:p w14:paraId="185D2C66" w14:textId="77777777" w:rsidR="005B28DF" w:rsidRPr="005B28DF" w:rsidRDefault="005B28DF" w:rsidP="005B28DF">
      <w:pPr>
        <w:pStyle w:val="ListParagraph"/>
        <w:numPr>
          <w:ilvl w:val="0"/>
          <w:numId w:val="9"/>
        </w:numPr>
        <w:rPr>
          <w:rFonts w:ascii="Open Sans" w:hAnsi="Open Sans" w:cs="Open Sans"/>
          <w:sz w:val="21"/>
          <w:szCs w:val="21"/>
        </w:rPr>
      </w:pPr>
      <w:r w:rsidRPr="005B28DF">
        <w:rPr>
          <w:rFonts w:ascii="Open Sans" w:hAnsi="Open Sans" w:cs="Open Sans"/>
          <w:sz w:val="21"/>
          <w:szCs w:val="21"/>
        </w:rPr>
        <w:t>Understand how to design the framework and process for resolving conflict and reaching agreement.</w:t>
      </w:r>
    </w:p>
    <w:p w14:paraId="497D00D9" w14:textId="77777777" w:rsidR="005B28DF" w:rsidRPr="005B28DF" w:rsidRDefault="005B28DF" w:rsidP="005B28DF">
      <w:pPr>
        <w:pStyle w:val="ListParagraph"/>
        <w:numPr>
          <w:ilvl w:val="0"/>
          <w:numId w:val="9"/>
        </w:numPr>
        <w:rPr>
          <w:rFonts w:ascii="Open Sans" w:hAnsi="Open Sans" w:cs="Open Sans"/>
          <w:sz w:val="21"/>
          <w:szCs w:val="21"/>
        </w:rPr>
      </w:pPr>
      <w:r w:rsidRPr="005B28DF">
        <w:rPr>
          <w:rFonts w:ascii="Open Sans" w:hAnsi="Open Sans" w:cs="Open Sans"/>
          <w:sz w:val="21"/>
          <w:szCs w:val="21"/>
        </w:rPr>
        <w:t>Understand the importance of communications during the negotiations process, including improving your ability to communicate in the style of those who sit across from you at the negotiating table, and to use a variety of communication strategies, tools, and techniques to increase your ability to influence others.</w:t>
      </w:r>
    </w:p>
    <w:p w14:paraId="5B965CB9" w14:textId="77777777" w:rsidR="005B28DF" w:rsidRPr="005B28DF" w:rsidRDefault="005B28DF" w:rsidP="005B28DF">
      <w:pPr>
        <w:pStyle w:val="ListParagraph"/>
        <w:numPr>
          <w:ilvl w:val="0"/>
          <w:numId w:val="9"/>
        </w:numPr>
        <w:rPr>
          <w:rFonts w:ascii="Open Sans" w:hAnsi="Open Sans" w:cs="Open Sans"/>
          <w:sz w:val="21"/>
          <w:szCs w:val="21"/>
        </w:rPr>
      </w:pPr>
      <w:r w:rsidRPr="005B28DF">
        <w:rPr>
          <w:rFonts w:ascii="Open Sans" w:hAnsi="Open Sans" w:cs="Open Sans"/>
          <w:sz w:val="21"/>
          <w:szCs w:val="21"/>
        </w:rPr>
        <w:lastRenderedPageBreak/>
        <w:t>Understand the importance of negotiating as a representative; be able to develop a strategy for the situation to ensure that one's own constituents or principals are appropriately involved.</w:t>
      </w:r>
    </w:p>
    <w:p w14:paraId="32700185" w14:textId="77777777" w:rsidR="005B28DF" w:rsidRPr="005B28DF" w:rsidRDefault="005B28DF" w:rsidP="005B28DF">
      <w:pPr>
        <w:pStyle w:val="ListParagraph"/>
        <w:numPr>
          <w:ilvl w:val="0"/>
          <w:numId w:val="9"/>
        </w:numPr>
        <w:rPr>
          <w:rFonts w:ascii="Open Sans" w:hAnsi="Open Sans" w:cs="Open Sans"/>
          <w:sz w:val="21"/>
          <w:szCs w:val="21"/>
        </w:rPr>
      </w:pPr>
      <w:r w:rsidRPr="005B28DF">
        <w:rPr>
          <w:rFonts w:ascii="Open Sans" w:hAnsi="Open Sans" w:cs="Open Sans"/>
          <w:sz w:val="21"/>
          <w:szCs w:val="21"/>
        </w:rPr>
        <w:t>Understand the critical importance of implementing agreements and how to apply adaptive management practices to allow parties to renegotiate the agreement or refine elements of it while maintaining the overall agreement</w:t>
      </w:r>
    </w:p>
    <w:p w14:paraId="2B3446E2" w14:textId="77777777" w:rsidR="001A24FB" w:rsidRDefault="001A24FB" w:rsidP="001A24FB">
      <w:pPr>
        <w:pStyle w:val="Heading3"/>
        <w:shd w:val="clear" w:color="auto" w:fill="FFFFFF"/>
        <w:spacing w:before="150" w:beforeAutospacing="0" w:after="150" w:afterAutospacing="0" w:line="432" w:lineRule="atLeast"/>
        <w:rPr>
          <w:rFonts w:ascii="Open Sans" w:hAnsi="Open Sans" w:cs="Open Sans"/>
          <w:color w:val="000000"/>
          <w:sz w:val="36"/>
          <w:szCs w:val="36"/>
        </w:rPr>
      </w:pPr>
      <w:r>
        <w:rPr>
          <w:rFonts w:ascii="Open Sans" w:hAnsi="Open Sans" w:cs="Open Sans"/>
          <w:color w:val="000000"/>
          <w:sz w:val="36"/>
          <w:szCs w:val="36"/>
        </w:rPr>
        <w:t>Block 6: Health Communication</w:t>
      </w:r>
    </w:p>
    <w:p w14:paraId="0F902126" w14:textId="7595946D" w:rsidR="001A24FB" w:rsidRDefault="001A24FB" w:rsidP="001A24FB">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This </w:t>
      </w:r>
      <w:r w:rsidR="005B28DF">
        <w:rPr>
          <w:rFonts w:ascii="Open Sans" w:hAnsi="Open Sans" w:cs="Open Sans"/>
          <w:color w:val="000000"/>
          <w:sz w:val="21"/>
          <w:szCs w:val="21"/>
        </w:rPr>
        <w:t>six</w:t>
      </w:r>
      <w:r>
        <w:rPr>
          <w:rFonts w:ascii="Open Sans" w:hAnsi="Open Sans" w:cs="Open Sans"/>
          <w:color w:val="000000"/>
          <w:sz w:val="21"/>
          <w:szCs w:val="21"/>
        </w:rPr>
        <w:t>-week Health Communications block provides scholars with the knowledge and skills to master important communication competencies for public health managers; 1) developing strategic communications plans to advance public health issues, 2) responding effectively during public health emergencies, and 3) utilizing multiple tools to reach different audiences with public health information. Participants will draw upon communications challenges within their work to explore strategic solutions.</w:t>
      </w:r>
    </w:p>
    <w:p w14:paraId="27546880" w14:textId="77777777" w:rsidR="001A24FB" w:rsidRDefault="001A24FB" w:rsidP="001A24FB">
      <w:pPr>
        <w:pStyle w:val="Heading4"/>
        <w:shd w:val="clear" w:color="auto" w:fill="FFFFFF"/>
        <w:spacing w:before="150" w:after="150" w:line="300" w:lineRule="atLeast"/>
        <w:rPr>
          <w:rFonts w:ascii="Open Sans" w:hAnsi="Open Sans" w:cs="Open Sans"/>
          <w:color w:val="000000"/>
          <w:sz w:val="30"/>
          <w:szCs w:val="30"/>
        </w:rPr>
      </w:pPr>
      <w:r>
        <w:rPr>
          <w:rFonts w:ascii="Open Sans" w:hAnsi="Open Sans" w:cs="Open Sans"/>
          <w:color w:val="000000"/>
          <w:sz w:val="30"/>
          <w:szCs w:val="30"/>
        </w:rPr>
        <w:t>Learning Objectives</w:t>
      </w:r>
    </w:p>
    <w:p w14:paraId="6C39CB17" w14:textId="77777777" w:rsidR="001A24FB" w:rsidRDefault="001A24FB" w:rsidP="001A24FB">
      <w:pPr>
        <w:numPr>
          <w:ilvl w:val="0"/>
          <w:numId w:val="5"/>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Increase ability to identify communications strategy for a public health issue</w:t>
      </w:r>
    </w:p>
    <w:p w14:paraId="00313456" w14:textId="77777777" w:rsidR="001A24FB" w:rsidRDefault="001A24FB" w:rsidP="001A24FB">
      <w:pPr>
        <w:numPr>
          <w:ilvl w:val="0"/>
          <w:numId w:val="5"/>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Identify key principles of risk communication</w:t>
      </w:r>
    </w:p>
    <w:p w14:paraId="7AB167D5" w14:textId="77777777" w:rsidR="001A24FB" w:rsidRDefault="001A24FB" w:rsidP="001A24FB">
      <w:pPr>
        <w:numPr>
          <w:ilvl w:val="0"/>
          <w:numId w:val="5"/>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Understand strategies for working with the media to promote public health policy goals</w:t>
      </w:r>
    </w:p>
    <w:p w14:paraId="02E9571C" w14:textId="77777777" w:rsidR="001A24FB" w:rsidRDefault="001A24FB" w:rsidP="001A24FB">
      <w:pPr>
        <w:numPr>
          <w:ilvl w:val="0"/>
          <w:numId w:val="5"/>
        </w:numPr>
        <w:shd w:val="clear" w:color="auto" w:fill="FFFFFF"/>
        <w:spacing w:before="100" w:beforeAutospacing="1" w:after="100" w:afterAutospacing="1" w:line="300" w:lineRule="atLeast"/>
        <w:ind w:left="375"/>
        <w:rPr>
          <w:rFonts w:ascii="Open Sans" w:hAnsi="Open Sans" w:cs="Open Sans"/>
          <w:color w:val="000000"/>
          <w:sz w:val="21"/>
          <w:szCs w:val="21"/>
        </w:rPr>
      </w:pPr>
      <w:r>
        <w:rPr>
          <w:rFonts w:ascii="Open Sans" w:hAnsi="Open Sans" w:cs="Open Sans"/>
          <w:color w:val="000000"/>
          <w:sz w:val="21"/>
          <w:szCs w:val="21"/>
        </w:rPr>
        <w:t>Engage in social media tools to promote health issues for the public and for focusing on different target audiences.</w:t>
      </w:r>
    </w:p>
    <w:p w14:paraId="4CBF9148" w14:textId="77777777" w:rsidR="00806329" w:rsidRDefault="00806329"/>
    <w:sectPr w:rsidR="0080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66A"/>
    <w:multiLevelType w:val="multilevel"/>
    <w:tmpl w:val="3AA0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3263F"/>
    <w:multiLevelType w:val="hybridMultilevel"/>
    <w:tmpl w:val="D588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C3997"/>
    <w:multiLevelType w:val="hybridMultilevel"/>
    <w:tmpl w:val="E538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D6715"/>
    <w:multiLevelType w:val="multilevel"/>
    <w:tmpl w:val="D576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A172F8"/>
    <w:multiLevelType w:val="multilevel"/>
    <w:tmpl w:val="E610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C752CC"/>
    <w:multiLevelType w:val="hybridMultilevel"/>
    <w:tmpl w:val="504CF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54621C"/>
    <w:multiLevelType w:val="hybridMultilevel"/>
    <w:tmpl w:val="1524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F4F68"/>
    <w:multiLevelType w:val="multilevel"/>
    <w:tmpl w:val="0266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AA315E"/>
    <w:multiLevelType w:val="multilevel"/>
    <w:tmpl w:val="4DDC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7666610">
    <w:abstractNumId w:val="3"/>
  </w:num>
  <w:num w:numId="2" w16cid:durableId="597755981">
    <w:abstractNumId w:val="4"/>
  </w:num>
  <w:num w:numId="3" w16cid:durableId="1434209633">
    <w:abstractNumId w:val="7"/>
  </w:num>
  <w:num w:numId="4" w16cid:durableId="1655527291">
    <w:abstractNumId w:val="8"/>
  </w:num>
  <w:num w:numId="5" w16cid:durableId="2075614793">
    <w:abstractNumId w:val="0"/>
  </w:num>
  <w:num w:numId="6" w16cid:durableId="88963078">
    <w:abstractNumId w:val="6"/>
  </w:num>
  <w:num w:numId="7" w16cid:durableId="442379660">
    <w:abstractNumId w:val="1"/>
  </w:num>
  <w:num w:numId="8" w16cid:durableId="1264535749">
    <w:abstractNumId w:val="2"/>
  </w:num>
  <w:num w:numId="9" w16cid:durableId="112311715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FB"/>
    <w:rsid w:val="001A24FB"/>
    <w:rsid w:val="005B28DF"/>
    <w:rsid w:val="0080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A050"/>
  <w15:chartTrackingRefBased/>
  <w15:docId w15:val="{90C2F0D1-755A-4A8E-9CA3-AD0E321A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24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A24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24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A2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A24F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1A24FB"/>
    <w:rPr>
      <w:b/>
      <w:bCs/>
    </w:rPr>
  </w:style>
  <w:style w:type="paragraph" w:styleId="NoSpacing">
    <w:name w:val="No Spacing"/>
    <w:uiPriority w:val="1"/>
    <w:qFormat/>
    <w:rsid w:val="005B28DF"/>
    <w:pPr>
      <w:spacing w:after="0" w:line="240" w:lineRule="auto"/>
    </w:pPr>
  </w:style>
  <w:style w:type="paragraph" w:styleId="ListParagraph">
    <w:name w:val="List Paragraph"/>
    <w:basedOn w:val="Normal"/>
    <w:uiPriority w:val="34"/>
    <w:qFormat/>
    <w:rsid w:val="005B28D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0132">
      <w:bodyDiv w:val="1"/>
      <w:marLeft w:val="0"/>
      <w:marRight w:val="0"/>
      <w:marTop w:val="0"/>
      <w:marBottom w:val="0"/>
      <w:divBdr>
        <w:top w:val="none" w:sz="0" w:space="0" w:color="auto"/>
        <w:left w:val="none" w:sz="0" w:space="0" w:color="auto"/>
        <w:bottom w:val="none" w:sz="0" w:space="0" w:color="auto"/>
        <w:right w:val="none" w:sz="0" w:space="0" w:color="auto"/>
      </w:divBdr>
    </w:div>
    <w:div w:id="183253423">
      <w:bodyDiv w:val="1"/>
      <w:marLeft w:val="0"/>
      <w:marRight w:val="0"/>
      <w:marTop w:val="0"/>
      <w:marBottom w:val="0"/>
      <w:divBdr>
        <w:top w:val="none" w:sz="0" w:space="0" w:color="auto"/>
        <w:left w:val="none" w:sz="0" w:space="0" w:color="auto"/>
        <w:bottom w:val="none" w:sz="0" w:space="0" w:color="auto"/>
        <w:right w:val="none" w:sz="0" w:space="0" w:color="auto"/>
      </w:divBdr>
      <w:divsChild>
        <w:div w:id="601184049">
          <w:marLeft w:val="0"/>
          <w:marRight w:val="0"/>
          <w:marTop w:val="0"/>
          <w:marBottom w:val="0"/>
          <w:divBdr>
            <w:top w:val="none" w:sz="0" w:space="0" w:color="auto"/>
            <w:left w:val="none" w:sz="0" w:space="0" w:color="auto"/>
            <w:bottom w:val="none" w:sz="0" w:space="0" w:color="auto"/>
            <w:right w:val="none" w:sz="0" w:space="0" w:color="auto"/>
          </w:divBdr>
        </w:div>
      </w:divsChild>
    </w:div>
    <w:div w:id="235169409">
      <w:bodyDiv w:val="1"/>
      <w:marLeft w:val="0"/>
      <w:marRight w:val="0"/>
      <w:marTop w:val="0"/>
      <w:marBottom w:val="0"/>
      <w:divBdr>
        <w:top w:val="none" w:sz="0" w:space="0" w:color="auto"/>
        <w:left w:val="none" w:sz="0" w:space="0" w:color="auto"/>
        <w:bottom w:val="none" w:sz="0" w:space="0" w:color="auto"/>
        <w:right w:val="none" w:sz="0" w:space="0" w:color="auto"/>
      </w:divBdr>
      <w:divsChild>
        <w:div w:id="1574780609">
          <w:marLeft w:val="0"/>
          <w:marRight w:val="0"/>
          <w:marTop w:val="0"/>
          <w:marBottom w:val="0"/>
          <w:divBdr>
            <w:top w:val="none" w:sz="0" w:space="0" w:color="auto"/>
            <w:left w:val="none" w:sz="0" w:space="0" w:color="auto"/>
            <w:bottom w:val="none" w:sz="0" w:space="0" w:color="auto"/>
            <w:right w:val="none" w:sz="0" w:space="0" w:color="auto"/>
          </w:divBdr>
        </w:div>
      </w:divsChild>
    </w:div>
    <w:div w:id="270475842">
      <w:bodyDiv w:val="1"/>
      <w:marLeft w:val="0"/>
      <w:marRight w:val="0"/>
      <w:marTop w:val="0"/>
      <w:marBottom w:val="0"/>
      <w:divBdr>
        <w:top w:val="none" w:sz="0" w:space="0" w:color="auto"/>
        <w:left w:val="none" w:sz="0" w:space="0" w:color="auto"/>
        <w:bottom w:val="none" w:sz="0" w:space="0" w:color="auto"/>
        <w:right w:val="none" w:sz="0" w:space="0" w:color="auto"/>
      </w:divBdr>
    </w:div>
    <w:div w:id="366637991">
      <w:bodyDiv w:val="1"/>
      <w:marLeft w:val="0"/>
      <w:marRight w:val="0"/>
      <w:marTop w:val="0"/>
      <w:marBottom w:val="0"/>
      <w:divBdr>
        <w:top w:val="none" w:sz="0" w:space="0" w:color="auto"/>
        <w:left w:val="none" w:sz="0" w:space="0" w:color="auto"/>
        <w:bottom w:val="none" w:sz="0" w:space="0" w:color="auto"/>
        <w:right w:val="none" w:sz="0" w:space="0" w:color="auto"/>
      </w:divBdr>
    </w:div>
    <w:div w:id="964584125">
      <w:bodyDiv w:val="1"/>
      <w:marLeft w:val="0"/>
      <w:marRight w:val="0"/>
      <w:marTop w:val="0"/>
      <w:marBottom w:val="0"/>
      <w:divBdr>
        <w:top w:val="none" w:sz="0" w:space="0" w:color="auto"/>
        <w:left w:val="none" w:sz="0" w:space="0" w:color="auto"/>
        <w:bottom w:val="none" w:sz="0" w:space="0" w:color="auto"/>
        <w:right w:val="none" w:sz="0" w:space="0" w:color="auto"/>
      </w:divBdr>
    </w:div>
    <w:div w:id="1026760006">
      <w:bodyDiv w:val="1"/>
      <w:marLeft w:val="0"/>
      <w:marRight w:val="0"/>
      <w:marTop w:val="0"/>
      <w:marBottom w:val="0"/>
      <w:divBdr>
        <w:top w:val="none" w:sz="0" w:space="0" w:color="auto"/>
        <w:left w:val="none" w:sz="0" w:space="0" w:color="auto"/>
        <w:bottom w:val="none" w:sz="0" w:space="0" w:color="auto"/>
        <w:right w:val="none" w:sz="0" w:space="0" w:color="auto"/>
      </w:divBdr>
    </w:div>
    <w:div w:id="1054044267">
      <w:bodyDiv w:val="1"/>
      <w:marLeft w:val="0"/>
      <w:marRight w:val="0"/>
      <w:marTop w:val="0"/>
      <w:marBottom w:val="0"/>
      <w:divBdr>
        <w:top w:val="none" w:sz="0" w:space="0" w:color="auto"/>
        <w:left w:val="none" w:sz="0" w:space="0" w:color="auto"/>
        <w:bottom w:val="none" w:sz="0" w:space="0" w:color="auto"/>
        <w:right w:val="none" w:sz="0" w:space="0" w:color="auto"/>
      </w:divBdr>
      <w:divsChild>
        <w:div w:id="1809088376">
          <w:marLeft w:val="0"/>
          <w:marRight w:val="0"/>
          <w:marTop w:val="0"/>
          <w:marBottom w:val="0"/>
          <w:divBdr>
            <w:top w:val="none" w:sz="0" w:space="0" w:color="auto"/>
            <w:left w:val="none" w:sz="0" w:space="0" w:color="auto"/>
            <w:bottom w:val="none" w:sz="0" w:space="0" w:color="auto"/>
            <w:right w:val="none" w:sz="0" w:space="0" w:color="auto"/>
          </w:divBdr>
        </w:div>
      </w:divsChild>
    </w:div>
    <w:div w:id="1066882754">
      <w:bodyDiv w:val="1"/>
      <w:marLeft w:val="0"/>
      <w:marRight w:val="0"/>
      <w:marTop w:val="0"/>
      <w:marBottom w:val="0"/>
      <w:divBdr>
        <w:top w:val="none" w:sz="0" w:space="0" w:color="auto"/>
        <w:left w:val="none" w:sz="0" w:space="0" w:color="auto"/>
        <w:bottom w:val="none" w:sz="0" w:space="0" w:color="auto"/>
        <w:right w:val="none" w:sz="0" w:space="0" w:color="auto"/>
      </w:divBdr>
      <w:divsChild>
        <w:div w:id="1320887360">
          <w:marLeft w:val="0"/>
          <w:marRight w:val="0"/>
          <w:marTop w:val="0"/>
          <w:marBottom w:val="0"/>
          <w:divBdr>
            <w:top w:val="none" w:sz="0" w:space="0" w:color="auto"/>
            <w:left w:val="none" w:sz="0" w:space="0" w:color="auto"/>
            <w:bottom w:val="none" w:sz="0" w:space="0" w:color="auto"/>
            <w:right w:val="none" w:sz="0" w:space="0" w:color="auto"/>
          </w:divBdr>
        </w:div>
      </w:divsChild>
    </w:div>
    <w:div w:id="1363819047">
      <w:bodyDiv w:val="1"/>
      <w:marLeft w:val="0"/>
      <w:marRight w:val="0"/>
      <w:marTop w:val="0"/>
      <w:marBottom w:val="0"/>
      <w:divBdr>
        <w:top w:val="none" w:sz="0" w:space="0" w:color="auto"/>
        <w:left w:val="none" w:sz="0" w:space="0" w:color="auto"/>
        <w:bottom w:val="none" w:sz="0" w:space="0" w:color="auto"/>
        <w:right w:val="none" w:sz="0" w:space="0" w:color="auto"/>
      </w:divBdr>
    </w:div>
    <w:div w:id="1391423232">
      <w:bodyDiv w:val="1"/>
      <w:marLeft w:val="0"/>
      <w:marRight w:val="0"/>
      <w:marTop w:val="0"/>
      <w:marBottom w:val="0"/>
      <w:divBdr>
        <w:top w:val="none" w:sz="0" w:space="0" w:color="auto"/>
        <w:left w:val="none" w:sz="0" w:space="0" w:color="auto"/>
        <w:bottom w:val="none" w:sz="0" w:space="0" w:color="auto"/>
        <w:right w:val="none" w:sz="0" w:space="0" w:color="auto"/>
      </w:divBdr>
    </w:div>
    <w:div w:id="1671180513">
      <w:bodyDiv w:val="1"/>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 w:id="1685595250">
      <w:bodyDiv w:val="1"/>
      <w:marLeft w:val="0"/>
      <w:marRight w:val="0"/>
      <w:marTop w:val="0"/>
      <w:marBottom w:val="0"/>
      <w:divBdr>
        <w:top w:val="none" w:sz="0" w:space="0" w:color="auto"/>
        <w:left w:val="none" w:sz="0" w:space="0" w:color="auto"/>
        <w:bottom w:val="none" w:sz="0" w:space="0" w:color="auto"/>
        <w:right w:val="none" w:sz="0" w:space="0" w:color="auto"/>
      </w:divBdr>
    </w:div>
    <w:div w:id="1765103200">
      <w:bodyDiv w:val="1"/>
      <w:marLeft w:val="0"/>
      <w:marRight w:val="0"/>
      <w:marTop w:val="0"/>
      <w:marBottom w:val="0"/>
      <w:divBdr>
        <w:top w:val="none" w:sz="0" w:space="0" w:color="auto"/>
        <w:left w:val="none" w:sz="0" w:space="0" w:color="auto"/>
        <w:bottom w:val="none" w:sz="0" w:space="0" w:color="auto"/>
        <w:right w:val="none" w:sz="0" w:space="0" w:color="auto"/>
      </w:divBdr>
      <w:divsChild>
        <w:div w:id="54345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Bullock</dc:creator>
  <cp:keywords/>
  <dc:description/>
  <cp:lastModifiedBy>Sarah Manchanda</cp:lastModifiedBy>
  <cp:revision>2</cp:revision>
  <dcterms:created xsi:type="dcterms:W3CDTF">2020-05-09T00:12:00Z</dcterms:created>
  <dcterms:modified xsi:type="dcterms:W3CDTF">2023-02-16T23:51:00Z</dcterms:modified>
</cp:coreProperties>
</file>